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DD06B5" w:rsidRDefault="00DD06B5" w:rsidP="000F246D">
      <w:pPr>
        <w:jc w:val="center"/>
        <w:rPr>
          <w:b/>
          <w:sz w:val="28"/>
        </w:rPr>
      </w:pPr>
      <w:r w:rsidRPr="00DD06B5">
        <w:rPr>
          <w:b/>
          <w:sz w:val="28"/>
        </w:rPr>
        <w:t>МО «Вельский муниципальный район»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"/>
        <w:gridCol w:w="3779"/>
        <w:gridCol w:w="9"/>
        <w:gridCol w:w="32"/>
        <w:gridCol w:w="4678"/>
        <w:gridCol w:w="1420"/>
        <w:gridCol w:w="5243"/>
      </w:tblGrid>
      <w:tr w:rsidR="00600DF9" w:rsidRPr="000A05E7" w:rsidTr="00BA207E">
        <w:trPr>
          <w:trHeight w:val="823"/>
        </w:trPr>
        <w:tc>
          <w:tcPr>
            <w:tcW w:w="574" w:type="dxa"/>
            <w:gridSpan w:val="2"/>
          </w:tcPr>
          <w:p w:rsidR="00600DF9" w:rsidRPr="000A05E7" w:rsidRDefault="00600DF9" w:rsidP="00B158D2">
            <w:pPr>
              <w:ind w:left="-113" w:right="-113"/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0A05E7"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788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710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Результат мероприятия</w:t>
            </w:r>
          </w:p>
        </w:tc>
        <w:tc>
          <w:tcPr>
            <w:tcW w:w="1420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5243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Документ, подтверждающий выполнение мероприятия</w:t>
            </w:r>
          </w:p>
        </w:tc>
      </w:tr>
      <w:tr w:rsidR="00306A26" w:rsidRPr="00D3515E" w:rsidTr="0030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6" w:rsidRPr="00306A26" w:rsidRDefault="00306A26" w:rsidP="00306A26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  <w:r w:rsidRPr="00306A26">
              <w:rPr>
                <w:b/>
                <w:color w:val="000000"/>
                <w:sz w:val="22"/>
                <w:szCs w:val="22"/>
              </w:rPr>
              <w:t>Мероприятия, направленные на оптимизацию процедур закупок товаров, работ, услуг.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035" w:rsidRPr="000A05E7" w:rsidRDefault="00FD7035" w:rsidP="00F4471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Осуществление процедур муниципальных закупок, а также закупок хозяйствующих субъектов, доля Архангельской области или муниципального образования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в которых составляет более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50 процентов, в том числе за счет расширения участия в указанных процедурах субъектов малого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B" w:rsidRPr="00203E02" w:rsidRDefault="000B147B" w:rsidP="00641B9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03E02">
              <w:rPr>
                <w:b/>
                <w:color w:val="000000"/>
                <w:sz w:val="22"/>
                <w:szCs w:val="22"/>
              </w:rPr>
              <w:t>Проведено</w:t>
            </w:r>
            <w:r w:rsidR="00203E02" w:rsidRPr="00203E02">
              <w:rPr>
                <w:b/>
                <w:color w:val="000000"/>
                <w:sz w:val="22"/>
                <w:szCs w:val="22"/>
              </w:rPr>
              <w:t xml:space="preserve"> с начала отчетного года</w:t>
            </w:r>
            <w:r w:rsidRPr="00203E02"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0B147B" w:rsidRDefault="000B147B" w:rsidP="00641B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-187 электронных аукционов (ст.59 44-ФЗ) на сумму 144541,00569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уб., в том числе для субъектов малого предпринимательства (СМП) 125 электронных аукционов на сумму 67684,6213 тыс.руб.; </w:t>
            </w:r>
          </w:p>
          <w:p w:rsidR="00FD7035" w:rsidRPr="00DD6051" w:rsidRDefault="000B147B" w:rsidP="00641B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-74 процедуры способом запроса котировок (ст.72 44-ФЗ) на сумму 10258,94469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уб., в том числе для СМП 36 процедур способом запроса котировок на сумму 4610,05995 тыс.руб.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FD7035" w:rsidP="00F4471C">
            <w:pPr>
              <w:jc w:val="both"/>
            </w:pPr>
            <w:r w:rsidRPr="00DD6051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CD6AD5" w:rsidRDefault="00FD7035" w:rsidP="00F4471C">
            <w:pPr>
              <w:jc w:val="both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B23BF9" w:rsidRPr="00D3515E" w:rsidTr="00B2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F9" w:rsidRPr="00070A7D" w:rsidRDefault="00B23BF9" w:rsidP="00B23BF9">
            <w:pPr>
              <w:jc w:val="center"/>
              <w:rPr>
                <w:b/>
                <w:sz w:val="22"/>
                <w:szCs w:val="22"/>
              </w:rPr>
            </w:pPr>
            <w:r w:rsidRPr="00070A7D">
              <w:rPr>
                <w:b/>
                <w:sz w:val="22"/>
                <w:szCs w:val="22"/>
              </w:rPr>
              <w:t>2. Мероприятия, направленные на устранение избыточного государственного регулирования и снижения административных барьеров.</w:t>
            </w:r>
          </w:p>
        </w:tc>
      </w:tr>
      <w:tr w:rsidR="00070A7D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A05E7" w:rsidRDefault="00070A7D" w:rsidP="00C865E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F708F5" w:rsidRDefault="00070A7D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F708F5">
              <w:rPr>
                <w:color w:val="000000"/>
                <w:sz w:val="22"/>
                <w:szCs w:val="22"/>
              </w:rPr>
              <w:t>Предоставление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F708F5" w:rsidRDefault="00070A7D" w:rsidP="00F708F5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708F5">
              <w:rPr>
                <w:color w:val="000000"/>
                <w:sz w:val="22"/>
                <w:szCs w:val="22"/>
              </w:rPr>
              <w:t xml:space="preserve">В соответствии с утвержденным перечнем </w:t>
            </w:r>
            <w:r w:rsidR="00F708F5" w:rsidRPr="00F708F5">
              <w:rPr>
                <w:color w:val="000000"/>
                <w:sz w:val="22"/>
                <w:szCs w:val="22"/>
              </w:rPr>
              <w:t>26</w:t>
            </w:r>
            <w:r w:rsidRPr="00F708F5">
              <w:rPr>
                <w:color w:val="000000"/>
                <w:sz w:val="22"/>
                <w:szCs w:val="22"/>
              </w:rPr>
              <w:t xml:space="preserve"> муниципальных услуг предоставляется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</w:t>
            </w:r>
            <w:r w:rsidR="00EE5E83" w:rsidRPr="00F708F5">
              <w:rPr>
                <w:color w:val="000000"/>
                <w:sz w:val="22"/>
                <w:szCs w:val="22"/>
              </w:rPr>
              <w:t>)</w:t>
            </w:r>
            <w:r w:rsidRPr="00F708F5">
              <w:rPr>
                <w:color w:val="000000"/>
                <w:sz w:val="22"/>
                <w:szCs w:val="22"/>
              </w:rPr>
              <w:t xml:space="preserve">».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F708F5" w:rsidRDefault="00070A7D" w:rsidP="00586D69">
            <w:pPr>
              <w:jc w:val="both"/>
            </w:pPr>
            <w:r w:rsidRPr="00F708F5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F708F5" w:rsidRDefault="00070A7D" w:rsidP="00754AE1">
            <w:pPr>
              <w:jc w:val="both"/>
              <w:rPr>
                <w:sz w:val="22"/>
                <w:szCs w:val="22"/>
              </w:rPr>
            </w:pPr>
            <w:r w:rsidRPr="00F708F5">
              <w:rPr>
                <w:sz w:val="22"/>
                <w:szCs w:val="22"/>
              </w:rPr>
              <w:t xml:space="preserve">Постановление от </w:t>
            </w:r>
            <w:r w:rsidR="00F708F5" w:rsidRPr="00F708F5">
              <w:rPr>
                <w:sz w:val="22"/>
                <w:szCs w:val="22"/>
              </w:rPr>
              <w:t>13 декабря</w:t>
            </w:r>
            <w:r w:rsidRPr="00F708F5">
              <w:rPr>
                <w:sz w:val="22"/>
                <w:szCs w:val="22"/>
              </w:rPr>
              <w:t xml:space="preserve"> 2018 года № </w:t>
            </w:r>
            <w:r w:rsidR="00F708F5" w:rsidRPr="00754AE1">
              <w:rPr>
                <w:sz w:val="22"/>
                <w:szCs w:val="22"/>
              </w:rPr>
              <w:t>1176</w:t>
            </w:r>
            <w:r w:rsidRPr="00754AE1">
              <w:rPr>
                <w:sz w:val="22"/>
                <w:szCs w:val="22"/>
              </w:rPr>
              <w:t xml:space="preserve"> </w:t>
            </w:r>
            <w:r w:rsidR="00754AE1" w:rsidRPr="00754AE1">
              <w:rPr>
                <w:sz w:val="22"/>
                <w:szCs w:val="22"/>
              </w:rPr>
              <w:t>«О</w:t>
            </w:r>
            <w:r w:rsidRPr="00754AE1">
              <w:rPr>
                <w:sz w:val="22"/>
                <w:szCs w:val="22"/>
              </w:rPr>
              <w:t>б утверждении перечня муниципальных услуг предоставляемых МО «Вельский муниципальный район» Архангельской области</w:t>
            </w:r>
            <w:r w:rsidR="00754AE1" w:rsidRPr="00754AE1">
              <w:rPr>
                <w:sz w:val="22"/>
                <w:szCs w:val="22"/>
              </w:rPr>
              <w:t>»</w:t>
            </w:r>
          </w:p>
        </w:tc>
      </w:tr>
      <w:tr w:rsidR="00FD7035" w:rsidRPr="00D3515E" w:rsidTr="00182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692A41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692A41">
              <w:rPr>
                <w:color w:val="000000"/>
                <w:sz w:val="22"/>
                <w:szCs w:val="22"/>
              </w:rPr>
              <w:t>3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Оптимизация процессов предоставления муниципальных услуг органами местного самоуправления </w:t>
            </w:r>
            <w:r>
              <w:rPr>
                <w:color w:val="000000"/>
                <w:sz w:val="22"/>
                <w:szCs w:val="22"/>
              </w:rPr>
              <w:t xml:space="preserve">МО «Вельский муниципальный район» </w:t>
            </w:r>
            <w:r w:rsidRPr="000A05E7">
              <w:rPr>
                <w:color w:val="000000"/>
                <w:sz w:val="22"/>
                <w:szCs w:val="22"/>
              </w:rPr>
              <w:t>Архангельской области соответственно для субъектов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прав, находящихся на территории МО «Вельский муниципальный район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 принятии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решени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я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 xml:space="preserve">об образовании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земельных участков из земельных участков и земель, распоряжение которыми относится к компетенции администрации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редоставлени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 xml:space="preserve"> участков в порядке переоформления прав, находящихся на территории МО «Вельский муниципальный район», утвержденный постановлением главы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Pr="00FD7035" w:rsidRDefault="00FD7035" w:rsidP="00F4471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Сроки </w:t>
            </w:r>
            <w:r w:rsidRPr="00FD7035">
              <w:rPr>
                <w:b w:val="0"/>
                <w:sz w:val="22"/>
                <w:szCs w:val="22"/>
              </w:rPr>
              <w:t>предоставления муниципальной услуги по выдаче разрешений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на строительство при осуществлении строительства, реконструкции</w:t>
            </w:r>
          </w:p>
          <w:p w:rsidR="00FD7035" w:rsidRPr="00594064" w:rsidRDefault="00FD7035" w:rsidP="00DF5A66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D7035">
              <w:rPr>
                <w:b w:val="0"/>
                <w:sz w:val="22"/>
                <w:szCs w:val="22"/>
              </w:rPr>
              <w:t>объектов капитального строительства, расположенных на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территории муниципального образования «Вельский муниципальный район»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сокращены на </w:t>
            </w:r>
            <w:r w:rsidR="00DF5A6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дн</w:t>
            </w:r>
            <w:r w:rsidR="0077076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both"/>
            </w:pPr>
            <w:r w:rsidRPr="0089418E">
              <w:lastRenderedPageBreak/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№207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ьский муниципальный район» от 17 февраля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1828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Pr="00FD7035" w:rsidRDefault="00FD7035" w:rsidP="00182800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FD7035">
              <w:rPr>
                <w:b w:val="0"/>
                <w:bCs w:val="0"/>
                <w:sz w:val="22"/>
                <w:szCs w:val="22"/>
              </w:rPr>
              <w:t xml:space="preserve">Постановлением главы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FD7035">
              <w:rPr>
                <w:b w:val="0"/>
                <w:bCs w:val="0"/>
                <w:sz w:val="22"/>
                <w:szCs w:val="22"/>
              </w:rPr>
              <w:t xml:space="preserve"> «Вельский муниципальный район»  от 18 декабря 2017 года № 1692</w:t>
            </w:r>
          </w:p>
          <w:p w:rsidR="00FD7035" w:rsidRPr="000A05E7" w:rsidRDefault="00FD7035" w:rsidP="001828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7035" w:rsidRPr="00D3515E" w:rsidTr="00174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BE0E1E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lastRenderedPageBreak/>
              <w:t>2.</w:t>
            </w:r>
            <w:r w:rsidR="00BE0E1E">
              <w:rPr>
                <w:color w:val="000000"/>
                <w:sz w:val="22"/>
                <w:szCs w:val="22"/>
              </w:rPr>
              <w:t>5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F65124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F65124">
              <w:rPr>
                <w:color w:val="000000"/>
                <w:sz w:val="22"/>
                <w:szCs w:val="22"/>
              </w:rPr>
              <w:t xml:space="preserve">Расширение практики применения </w:t>
            </w:r>
            <w:proofErr w:type="spellStart"/>
            <w:r w:rsidRPr="00F65124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F65124">
              <w:rPr>
                <w:color w:val="000000"/>
                <w:sz w:val="22"/>
                <w:szCs w:val="22"/>
              </w:rPr>
              <w:t xml:space="preserve"> в муниципальных учреждениях МО «Вельский муниципальный район» (далее –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F65124" w:rsidRDefault="00FD7035" w:rsidP="00A749BF">
            <w:pPr>
              <w:jc w:val="both"/>
              <w:rPr>
                <w:color w:val="000000"/>
                <w:sz w:val="22"/>
                <w:szCs w:val="22"/>
              </w:rPr>
            </w:pPr>
            <w:r w:rsidRPr="00F65124">
              <w:rPr>
                <w:color w:val="000000"/>
                <w:sz w:val="22"/>
                <w:szCs w:val="22"/>
              </w:rPr>
              <w:t xml:space="preserve">Практика применения </w:t>
            </w:r>
            <w:proofErr w:type="spellStart"/>
            <w:r w:rsidRPr="00F65124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F65124">
              <w:rPr>
                <w:color w:val="000000"/>
                <w:sz w:val="22"/>
                <w:szCs w:val="22"/>
              </w:rPr>
              <w:t xml:space="preserve"> в муниципальных учреждениях МО «Вельский муниципальный район» 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DA09EF">
            <w:pPr>
              <w:jc w:val="center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174A53" w:rsidP="00174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7035" w:rsidRPr="00D3515E" w:rsidTr="0089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915EC7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A43694">
              <w:rPr>
                <w:color w:val="000000"/>
                <w:sz w:val="22"/>
                <w:szCs w:val="22"/>
              </w:rPr>
              <w:t>7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C4508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A05E7">
              <w:rPr>
                <w:color w:val="000000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="00AE274F"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устанавливающих новые или изменяющих ранее предусмотренные муниципальными нормативными правовыми актами</w:t>
            </w:r>
            <w:r w:rsidR="00DA09EF">
              <w:rPr>
                <w:color w:val="000000"/>
                <w:sz w:val="22"/>
                <w:szCs w:val="22"/>
              </w:rPr>
              <w:t xml:space="preserve"> </w:t>
            </w:r>
            <w:r w:rsidR="00AE274F">
              <w:rPr>
                <w:color w:val="000000"/>
                <w:sz w:val="22"/>
                <w:szCs w:val="22"/>
              </w:rPr>
              <w:t xml:space="preserve">обязанности </w:t>
            </w:r>
            <w:r w:rsidRPr="000A05E7">
              <w:rPr>
                <w:color w:val="000000"/>
                <w:sz w:val="22"/>
                <w:szCs w:val="22"/>
              </w:rPr>
              <w:t>для субъектов предпринимательской</w:t>
            </w:r>
            <w:r w:rsidR="00AE274F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>и и</w:t>
            </w:r>
            <w:r>
              <w:rPr>
                <w:color w:val="000000"/>
                <w:sz w:val="22"/>
                <w:szCs w:val="22"/>
              </w:rPr>
              <w:t>нвестиционной</w:t>
            </w:r>
            <w:r w:rsidR="00AE274F">
              <w:rPr>
                <w:color w:val="000000"/>
                <w:sz w:val="22"/>
                <w:szCs w:val="22"/>
              </w:rPr>
              <w:t xml:space="preserve"> деятельности</w:t>
            </w:r>
            <w:r w:rsidRPr="000A05E7">
              <w:rPr>
                <w:color w:val="000000"/>
                <w:sz w:val="22"/>
                <w:szCs w:val="22"/>
              </w:rPr>
              <w:t>, и экспертиза муниципальных нормативных</w:t>
            </w:r>
            <w:r w:rsidR="00164BA2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 xml:space="preserve">правовых актов </w:t>
            </w:r>
            <w:r w:rsidR="00C45089">
              <w:rPr>
                <w:color w:val="000000"/>
                <w:sz w:val="22"/>
                <w:szCs w:val="22"/>
              </w:rPr>
              <w:t>МО «Вельский муниципальный район»,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6A" w:rsidRPr="00E8266A" w:rsidRDefault="005F4DD6" w:rsidP="00E8266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Проведена</w:t>
            </w:r>
            <w:r w:rsidR="00FD7035">
              <w:rPr>
                <w:color w:val="000000"/>
                <w:sz w:val="22"/>
                <w:szCs w:val="22"/>
              </w:rPr>
              <w:t xml:space="preserve"> процедур</w:t>
            </w:r>
            <w:r w:rsidR="00BA207E">
              <w:rPr>
                <w:color w:val="000000"/>
                <w:sz w:val="22"/>
                <w:szCs w:val="22"/>
              </w:rPr>
              <w:t>а</w:t>
            </w:r>
            <w:r w:rsidR="00FD7035">
              <w:rPr>
                <w:color w:val="000000"/>
                <w:sz w:val="22"/>
                <w:szCs w:val="22"/>
              </w:rPr>
              <w:t xml:space="preserve"> оценки регулирующего воздействия</w:t>
            </w:r>
            <w:r w:rsidR="00E8266A">
              <w:rPr>
                <w:color w:val="000000"/>
                <w:sz w:val="22"/>
                <w:szCs w:val="22"/>
              </w:rPr>
              <w:t xml:space="preserve"> проекта НПА «</w:t>
            </w:r>
            <w:r w:rsidR="00E8266A"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 w:rsidR="005A085C">
              <w:rPr>
                <w:sz w:val="22"/>
                <w:szCs w:val="22"/>
              </w:rPr>
              <w:t xml:space="preserve">ия  субсидий юридическим лицам </w:t>
            </w:r>
            <w:r w:rsidR="00E8266A"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 w:rsidR="00E8266A">
              <w:rPr>
                <w:sz w:val="22"/>
                <w:szCs w:val="22"/>
              </w:rPr>
              <w:t xml:space="preserve">». </w:t>
            </w:r>
          </w:p>
          <w:p w:rsidR="00FD7035" w:rsidRPr="00E8266A" w:rsidRDefault="00FD7035" w:rsidP="00E82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E8266A">
            <w:pPr>
              <w:jc w:val="both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4C" w:rsidRPr="00E8266A" w:rsidRDefault="00C1504C" w:rsidP="00C15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 МО «Вельский муниципальный район» от 23.04.2018 года №349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>
              <w:rPr>
                <w:sz w:val="22"/>
                <w:szCs w:val="22"/>
              </w:rPr>
              <w:t xml:space="preserve">ия  субсидий юридическим лицам </w:t>
            </w:r>
            <w:r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>
              <w:rPr>
                <w:sz w:val="22"/>
                <w:szCs w:val="22"/>
              </w:rPr>
              <w:t xml:space="preserve">». </w:t>
            </w:r>
          </w:p>
          <w:p w:rsidR="00FD7035" w:rsidRPr="00FD7035" w:rsidRDefault="00C1504C" w:rsidP="00E8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D7035" w:rsidRPr="00D3515E" w:rsidTr="0024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затрагивающих вопросы осуществления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 xml:space="preserve">редпринимательской и инвестиционной деятельности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муниципальный акт), в целях выявления положений, необоснованно ограничивающих конкуренцию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в порядке, установленном законодательством Российской Федерации и законодательном Архангельской области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FD7035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center"/>
            </w:pP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0B7F" w:rsidRPr="00930B7F" w:rsidRDefault="00930B7F" w:rsidP="00F4471C">
      <w:pPr>
        <w:jc w:val="both"/>
        <w:rPr>
          <w:sz w:val="16"/>
          <w:szCs w:val="16"/>
        </w:rPr>
      </w:pPr>
    </w:p>
    <w:sectPr w:rsidR="00930B7F" w:rsidRPr="00930B7F" w:rsidSect="000F246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DEF"/>
    <w:multiLevelType w:val="hybridMultilevel"/>
    <w:tmpl w:val="AC9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597"/>
    <w:multiLevelType w:val="hybridMultilevel"/>
    <w:tmpl w:val="314EF1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0F246D"/>
    <w:rsid w:val="00027832"/>
    <w:rsid w:val="0003683D"/>
    <w:rsid w:val="00050396"/>
    <w:rsid w:val="00070A7D"/>
    <w:rsid w:val="0009590F"/>
    <w:rsid w:val="000B147B"/>
    <w:rsid w:val="000B7B7C"/>
    <w:rsid w:val="000C06C7"/>
    <w:rsid w:val="000D471F"/>
    <w:rsid w:val="000F246D"/>
    <w:rsid w:val="000F695C"/>
    <w:rsid w:val="001479AF"/>
    <w:rsid w:val="00164BA2"/>
    <w:rsid w:val="00172A54"/>
    <w:rsid w:val="00174A53"/>
    <w:rsid w:val="00182800"/>
    <w:rsid w:val="001B7C60"/>
    <w:rsid w:val="001D7363"/>
    <w:rsid w:val="00203E02"/>
    <w:rsid w:val="00232BBA"/>
    <w:rsid w:val="002421C9"/>
    <w:rsid w:val="00250099"/>
    <w:rsid w:val="00304B5E"/>
    <w:rsid w:val="00306A26"/>
    <w:rsid w:val="00370627"/>
    <w:rsid w:val="00370A86"/>
    <w:rsid w:val="00375D14"/>
    <w:rsid w:val="003A0478"/>
    <w:rsid w:val="00402574"/>
    <w:rsid w:val="00411A99"/>
    <w:rsid w:val="00440FA7"/>
    <w:rsid w:val="00444FEC"/>
    <w:rsid w:val="00445310"/>
    <w:rsid w:val="00490582"/>
    <w:rsid w:val="004B7EC6"/>
    <w:rsid w:val="00550235"/>
    <w:rsid w:val="00577DEF"/>
    <w:rsid w:val="00594064"/>
    <w:rsid w:val="005A085C"/>
    <w:rsid w:val="005F4DD6"/>
    <w:rsid w:val="00600DF9"/>
    <w:rsid w:val="00604787"/>
    <w:rsid w:val="0062176D"/>
    <w:rsid w:val="00641B97"/>
    <w:rsid w:val="00692A41"/>
    <w:rsid w:val="006C52D9"/>
    <w:rsid w:val="006E68AA"/>
    <w:rsid w:val="00720093"/>
    <w:rsid w:val="00721FBE"/>
    <w:rsid w:val="00754AE1"/>
    <w:rsid w:val="0077076C"/>
    <w:rsid w:val="00790212"/>
    <w:rsid w:val="0079108C"/>
    <w:rsid w:val="007E4E5F"/>
    <w:rsid w:val="00844899"/>
    <w:rsid w:val="00852312"/>
    <w:rsid w:val="008828E1"/>
    <w:rsid w:val="00894738"/>
    <w:rsid w:val="009010EB"/>
    <w:rsid w:val="00915EC7"/>
    <w:rsid w:val="00930B7F"/>
    <w:rsid w:val="009359A2"/>
    <w:rsid w:val="00973F3A"/>
    <w:rsid w:val="00993FBB"/>
    <w:rsid w:val="009C0895"/>
    <w:rsid w:val="009F72E6"/>
    <w:rsid w:val="00A04C46"/>
    <w:rsid w:val="00A068E1"/>
    <w:rsid w:val="00A31F59"/>
    <w:rsid w:val="00A43694"/>
    <w:rsid w:val="00A749BF"/>
    <w:rsid w:val="00AE274F"/>
    <w:rsid w:val="00B11FCF"/>
    <w:rsid w:val="00B158D2"/>
    <w:rsid w:val="00B23BF9"/>
    <w:rsid w:val="00B83754"/>
    <w:rsid w:val="00BA207E"/>
    <w:rsid w:val="00BA56D5"/>
    <w:rsid w:val="00BE0E1E"/>
    <w:rsid w:val="00C1504C"/>
    <w:rsid w:val="00C44CF6"/>
    <w:rsid w:val="00C45089"/>
    <w:rsid w:val="00C51F26"/>
    <w:rsid w:val="00C57A02"/>
    <w:rsid w:val="00C7064E"/>
    <w:rsid w:val="00C865EC"/>
    <w:rsid w:val="00C877D5"/>
    <w:rsid w:val="00CC33D7"/>
    <w:rsid w:val="00CD6AD5"/>
    <w:rsid w:val="00CE5CE5"/>
    <w:rsid w:val="00CE7D35"/>
    <w:rsid w:val="00D1130F"/>
    <w:rsid w:val="00D22D5E"/>
    <w:rsid w:val="00D34EAB"/>
    <w:rsid w:val="00DA09EF"/>
    <w:rsid w:val="00DD06B5"/>
    <w:rsid w:val="00DD6051"/>
    <w:rsid w:val="00DF5A66"/>
    <w:rsid w:val="00E41D4A"/>
    <w:rsid w:val="00E476AA"/>
    <w:rsid w:val="00E8266A"/>
    <w:rsid w:val="00ED211E"/>
    <w:rsid w:val="00EE5E83"/>
    <w:rsid w:val="00F2151E"/>
    <w:rsid w:val="00F4471C"/>
    <w:rsid w:val="00F525F9"/>
    <w:rsid w:val="00F65124"/>
    <w:rsid w:val="00F67219"/>
    <w:rsid w:val="00F708F5"/>
    <w:rsid w:val="00F86267"/>
    <w:rsid w:val="00FC6D00"/>
    <w:rsid w:val="00FD6261"/>
    <w:rsid w:val="00FD703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F246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D703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FD70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97E2-7D31-4756-A45F-2490814A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3</cp:revision>
  <cp:lastPrinted>2018-10-05T08:40:00Z</cp:lastPrinted>
  <dcterms:created xsi:type="dcterms:W3CDTF">2019-01-11T12:11:00Z</dcterms:created>
  <dcterms:modified xsi:type="dcterms:W3CDTF">2019-01-11T12:12:00Z</dcterms:modified>
</cp:coreProperties>
</file>